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348B" w14:textId="7B7988D0" w:rsidR="005261EE" w:rsidRPr="005261EE" w:rsidRDefault="507EE255" w:rsidP="0044399D">
      <w:pPr>
        <w:spacing w:after="148" w:line="259" w:lineRule="auto"/>
        <w:ind w:left="56" w:right="0" w:firstLine="0"/>
        <w:jc w:val="left"/>
      </w:pPr>
      <w:r>
        <w:rPr>
          <w:noProof/>
        </w:rPr>
        <w:drawing>
          <wp:inline distT="0" distB="0" distL="0" distR="0" wp14:anchorId="18CB3825" wp14:editId="40D7FD85">
            <wp:extent cx="5734052" cy="3467100"/>
            <wp:effectExtent l="0" t="0" r="0" b="0"/>
            <wp:docPr id="706558614" name="Picture 70655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2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ADAA341" w:rsidRPr="6FEDFF07">
        <w:rPr>
          <w:rFonts w:ascii="Cambria" w:eastAsia="Cambria" w:hAnsi="Cambria" w:cs="Cambria"/>
          <w:sz w:val="28"/>
          <w:szCs w:val="28"/>
        </w:rPr>
        <w:t xml:space="preserve"> </w:t>
      </w:r>
    </w:p>
    <w:p w14:paraId="02FFD3BB" w14:textId="796E6F0D" w:rsidR="00F3527C" w:rsidRDefault="0044399D" w:rsidP="0044399D">
      <w:pPr>
        <w:spacing w:after="261" w:line="259" w:lineRule="auto"/>
        <w:ind w:left="0" w:right="0" w:firstLine="0"/>
        <w:jc w:val="left"/>
      </w:pPr>
      <w:r>
        <w:rPr>
          <w:b/>
          <w:sz w:val="28"/>
        </w:rPr>
        <w:t xml:space="preserve">Pupil Premium and Pupil Premium Plus Statement </w:t>
      </w:r>
    </w:p>
    <w:p w14:paraId="2B6A5AF1" w14:textId="7C7CBEE9" w:rsidR="00F3527C" w:rsidRDefault="0044399D" w:rsidP="0044399D">
      <w:pPr>
        <w:spacing w:after="271"/>
        <w:ind w:left="-5" w:right="0"/>
        <w:jc w:val="left"/>
      </w:pPr>
      <w:r>
        <w:t xml:space="preserve">Pupil premium grant is assessed as pupil premium (PP) or pupil premium plus (PP+) funding. PP funding is used to improve education outcomes of disadvantaged pupils of all abilities in schools in England who are eligible for free school meals while PP+ funding is </w:t>
      </w:r>
      <w:proofErr w:type="gramStart"/>
      <w:r>
        <w:t>an  additional</w:t>
      </w:r>
      <w:proofErr w:type="gramEnd"/>
      <w:r>
        <w:t xml:space="preserve"> government funding for either a </w:t>
      </w:r>
      <w:r w:rsidR="00F62C78">
        <w:t>Looked After Child</w:t>
      </w:r>
      <w:r>
        <w:t xml:space="preserve"> (</w:t>
      </w:r>
      <w:r w:rsidR="00F62C78">
        <w:t>LAC</w:t>
      </w:r>
      <w:r>
        <w:t>) or previously looked after child (</w:t>
      </w:r>
      <w:proofErr w:type="gramStart"/>
      <w:r>
        <w:t>PLAC)  with</w:t>
      </w:r>
      <w:proofErr w:type="gramEnd"/>
      <w:r>
        <w:t xml:space="preserve"> focus on </w:t>
      </w:r>
      <w:r w:rsidR="00F62C78">
        <w:t>LAC</w:t>
      </w:r>
      <w:r>
        <w:t xml:space="preserve"> and PLAC’ s social, emotional and wider needs. Pupils are eligible for pupil premium plus if they fall into the following groups: </w:t>
      </w:r>
    </w:p>
    <w:p w14:paraId="2A2F9743" w14:textId="77777777" w:rsidR="00F3527C" w:rsidRDefault="0044399D" w:rsidP="0044399D">
      <w:pPr>
        <w:numPr>
          <w:ilvl w:val="0"/>
          <w:numId w:val="1"/>
        </w:numPr>
        <w:spacing w:after="0"/>
        <w:ind w:right="0" w:hanging="360"/>
        <w:jc w:val="left"/>
      </w:pPr>
      <w:r>
        <w:t xml:space="preserve">Are in local authority care in England. </w:t>
      </w:r>
    </w:p>
    <w:p w14:paraId="7ECAA94C" w14:textId="77777777" w:rsidR="00F3527C" w:rsidRDefault="0044399D" w:rsidP="0044399D">
      <w:pPr>
        <w:numPr>
          <w:ilvl w:val="0"/>
          <w:numId w:val="1"/>
        </w:numPr>
        <w:spacing w:after="0"/>
        <w:ind w:right="0" w:hanging="360"/>
        <w:jc w:val="left"/>
      </w:pPr>
      <w:r>
        <w:t xml:space="preserve">Adopted from care in England or Wales. </w:t>
      </w:r>
    </w:p>
    <w:p w14:paraId="3FCDBF25" w14:textId="77777777" w:rsidR="00F3527C" w:rsidRDefault="0044399D" w:rsidP="0044399D">
      <w:pPr>
        <w:numPr>
          <w:ilvl w:val="0"/>
          <w:numId w:val="1"/>
        </w:numPr>
        <w:spacing w:after="0"/>
        <w:ind w:right="0" w:hanging="360"/>
        <w:jc w:val="left"/>
      </w:pPr>
      <w:r>
        <w:t xml:space="preserve">Left care under a Special Guardianship Order (SGO). </w:t>
      </w:r>
    </w:p>
    <w:p w14:paraId="532AD611" w14:textId="77777777" w:rsidR="00F3527C" w:rsidRDefault="0044399D" w:rsidP="0044399D">
      <w:pPr>
        <w:numPr>
          <w:ilvl w:val="0"/>
          <w:numId w:val="1"/>
        </w:numPr>
        <w:spacing w:after="0"/>
        <w:ind w:right="0" w:hanging="360"/>
        <w:jc w:val="left"/>
      </w:pPr>
      <w:r>
        <w:t xml:space="preserve">Left care under a Child Arrangements Order (formerly known as a Residence Order. </w:t>
      </w:r>
    </w:p>
    <w:p w14:paraId="2D632C09" w14:textId="77777777" w:rsidR="00F3527C" w:rsidRDefault="0044399D" w:rsidP="0044399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71955F" w14:textId="5D1324F9" w:rsidR="00F3527C" w:rsidRDefault="0044399D" w:rsidP="0044399D">
      <w:pPr>
        <w:ind w:left="-5" w:right="0"/>
        <w:jc w:val="left"/>
      </w:pPr>
      <w:r>
        <w:t xml:space="preserve">This funding boosts the learning of children and young people so that gaps between peers are narrowed and all children and young people </w:t>
      </w:r>
      <w:proofErr w:type="gramStart"/>
      <w:r>
        <w:t>are able to</w:t>
      </w:r>
      <w:proofErr w:type="gramEnd"/>
      <w:r>
        <w:t xml:space="preserve"> reach their full potential. Evidence shows that the most effective schools achieve best outcomes through </w:t>
      </w:r>
      <w:r w:rsidR="00F62C78">
        <w:t>high-quality</w:t>
      </w:r>
      <w:r>
        <w:t xml:space="preserve"> teaching, strong leadership, a relevant and coherent curriculum, a culture of high expectations, targeted catch-up and enrichment activities. Intrinsic support in the basics can enable children from disadvantaged backgrounds </w:t>
      </w:r>
      <w:r w:rsidR="00F62C78">
        <w:t xml:space="preserve">to </w:t>
      </w:r>
      <w:r>
        <w:t xml:space="preserve">catch up with their peers. Schools also influence how parents support their child’s learning and behaviour as they grow </w:t>
      </w:r>
      <w:proofErr w:type="gramStart"/>
      <w:r>
        <w:t>older</w:t>
      </w:r>
      <w:proofErr w:type="gramEnd"/>
      <w:r>
        <w:t xml:space="preserve"> and their needs develop. They can also help parents understand the breadth of possibilities open to their child. </w:t>
      </w:r>
    </w:p>
    <w:p w14:paraId="53D1A83F" w14:textId="77777777" w:rsidR="00F62C78" w:rsidRDefault="00F62C78" w:rsidP="0044399D">
      <w:pPr>
        <w:ind w:left="-5" w:right="0"/>
        <w:jc w:val="left"/>
      </w:pPr>
    </w:p>
    <w:p w14:paraId="397C5672" w14:textId="653DE8C2" w:rsidR="00F3527C" w:rsidRDefault="0044399D" w:rsidP="0044399D">
      <w:pPr>
        <w:spacing w:after="272"/>
        <w:ind w:left="-5" w:right="0"/>
        <w:jc w:val="left"/>
      </w:pPr>
      <w:r>
        <w:t xml:space="preserve">Some of the key areas </w:t>
      </w:r>
      <w:r w:rsidR="00F62C78">
        <w:t xml:space="preserve">the </w:t>
      </w:r>
      <w:r>
        <w:t xml:space="preserve">pupil premium fund </w:t>
      </w:r>
      <w:r w:rsidR="005261EE">
        <w:t>may be</w:t>
      </w:r>
      <w:r>
        <w:t xml:space="preserve"> used for are: </w:t>
      </w:r>
    </w:p>
    <w:p w14:paraId="720D33D8" w14:textId="77777777" w:rsidR="00F3527C" w:rsidRDefault="0044399D" w:rsidP="0044399D">
      <w:pPr>
        <w:numPr>
          <w:ilvl w:val="0"/>
          <w:numId w:val="1"/>
        </w:numPr>
        <w:ind w:right="0" w:hanging="360"/>
        <w:jc w:val="left"/>
      </w:pPr>
      <w:r>
        <w:t xml:space="preserve">Supporting high-quality teaching, such as staff professional development. </w:t>
      </w:r>
    </w:p>
    <w:p w14:paraId="7F8ADCE7" w14:textId="77777777" w:rsidR="00F3527C" w:rsidRDefault="0044399D" w:rsidP="0044399D">
      <w:pPr>
        <w:numPr>
          <w:ilvl w:val="0"/>
          <w:numId w:val="1"/>
        </w:numPr>
        <w:ind w:right="0" w:hanging="360"/>
        <w:jc w:val="left"/>
      </w:pPr>
      <w:r>
        <w:t xml:space="preserve">Provision of targeted academic support, such as tutoring. </w:t>
      </w:r>
    </w:p>
    <w:p w14:paraId="286EECC0" w14:textId="31754028" w:rsidR="0044399D" w:rsidRDefault="0044399D" w:rsidP="0044399D">
      <w:pPr>
        <w:numPr>
          <w:ilvl w:val="0"/>
          <w:numId w:val="1"/>
        </w:numPr>
        <w:ind w:right="0" w:hanging="360"/>
        <w:jc w:val="left"/>
      </w:pPr>
      <w:r>
        <w:t xml:space="preserve">Tackling non-academic barriers to academic success, such as difficulties with attendance, behaviour, and social and emotional </w:t>
      </w:r>
      <w:r w:rsidR="00F62C78">
        <w:t>well-being</w:t>
      </w:r>
      <w:r>
        <w:t xml:space="preserve">. </w:t>
      </w:r>
    </w:p>
    <w:p w14:paraId="0939CC14" w14:textId="77777777" w:rsidR="0044399D" w:rsidRDefault="0044399D" w:rsidP="0044399D">
      <w:pPr>
        <w:spacing w:after="242"/>
        <w:ind w:left="-5" w:right="0"/>
        <w:jc w:val="left"/>
      </w:pPr>
    </w:p>
    <w:p w14:paraId="71B96940" w14:textId="0A713653" w:rsidR="00F3527C" w:rsidRDefault="0044399D" w:rsidP="0044399D">
      <w:pPr>
        <w:spacing w:after="242"/>
        <w:ind w:left="-5" w:right="0"/>
        <w:jc w:val="left"/>
      </w:pPr>
      <w:r>
        <w:lastRenderedPageBreak/>
        <w:t>Pupil premium plus</w:t>
      </w:r>
      <w:r w:rsidR="00F62C78">
        <w:t>,</w:t>
      </w:r>
      <w:r>
        <w:t xml:space="preserve"> on the other hand</w:t>
      </w:r>
      <w:r w:rsidR="00F62C78">
        <w:t>,</w:t>
      </w:r>
      <w:r>
        <w:t xml:space="preserve"> is used to commission services or activities that will benefit Looked After </w:t>
      </w:r>
      <w:proofErr w:type="gramStart"/>
      <w:r>
        <w:t>Children  and</w:t>
      </w:r>
      <w:proofErr w:type="gramEnd"/>
      <w:r>
        <w:t xml:space="preserve"> Previously Looked After Children holistically using any one of the following additional provisions: </w:t>
      </w:r>
    </w:p>
    <w:p w14:paraId="71079EA1" w14:textId="77777777" w:rsidR="00F3527C" w:rsidRDefault="0044399D" w:rsidP="0044399D">
      <w:pPr>
        <w:numPr>
          <w:ilvl w:val="0"/>
          <w:numId w:val="1"/>
        </w:numPr>
        <w:ind w:right="0" w:hanging="360"/>
        <w:jc w:val="left"/>
      </w:pPr>
      <w:r>
        <w:t xml:space="preserve">Purchase of specific equipment/software to support learning. </w:t>
      </w:r>
    </w:p>
    <w:p w14:paraId="4C5D735C" w14:textId="77777777" w:rsidR="00F3527C" w:rsidRDefault="0044399D" w:rsidP="0044399D">
      <w:pPr>
        <w:numPr>
          <w:ilvl w:val="0"/>
          <w:numId w:val="1"/>
        </w:numPr>
        <w:ind w:right="0" w:hanging="360"/>
        <w:jc w:val="left"/>
      </w:pPr>
      <w:r>
        <w:t xml:space="preserve">Revision guides and other resources to support Exam preparation. </w:t>
      </w:r>
    </w:p>
    <w:p w14:paraId="381F676A" w14:textId="4631F967" w:rsidR="00F3527C" w:rsidRDefault="0044399D" w:rsidP="0044399D">
      <w:pPr>
        <w:numPr>
          <w:ilvl w:val="0"/>
          <w:numId w:val="1"/>
        </w:numPr>
        <w:ind w:right="0" w:hanging="360"/>
        <w:jc w:val="left"/>
      </w:pPr>
      <w:r>
        <w:t>IT equipment e.g. laptops, iPads</w:t>
      </w:r>
      <w:r w:rsidR="00A06D03">
        <w:t>,</w:t>
      </w:r>
      <w:r>
        <w:t xml:space="preserve"> and iPods </w:t>
      </w:r>
    </w:p>
    <w:p w14:paraId="27CF22EE" w14:textId="77777777" w:rsidR="00F3527C" w:rsidRDefault="0044399D" w:rsidP="0044399D">
      <w:pPr>
        <w:numPr>
          <w:ilvl w:val="0"/>
          <w:numId w:val="1"/>
        </w:numPr>
        <w:ind w:right="0" w:hanging="360"/>
        <w:jc w:val="left"/>
      </w:pPr>
      <w:r>
        <w:t xml:space="preserve">Communication aids </w:t>
      </w:r>
    </w:p>
    <w:p w14:paraId="507BBAA2" w14:textId="77777777" w:rsidR="00F3527C" w:rsidRDefault="0044399D" w:rsidP="0044399D">
      <w:pPr>
        <w:numPr>
          <w:ilvl w:val="0"/>
          <w:numId w:val="1"/>
        </w:numPr>
        <w:ind w:right="0" w:hanging="360"/>
        <w:jc w:val="left"/>
      </w:pPr>
      <w:r>
        <w:t xml:space="preserve">Individual music lessons/ sport coaching/ dance groups etc </w:t>
      </w:r>
    </w:p>
    <w:p w14:paraId="35B3BF34" w14:textId="77777777" w:rsidR="00F3527C" w:rsidRDefault="0044399D" w:rsidP="0044399D">
      <w:pPr>
        <w:numPr>
          <w:ilvl w:val="0"/>
          <w:numId w:val="1"/>
        </w:numPr>
        <w:ind w:right="0" w:hanging="360"/>
        <w:jc w:val="left"/>
      </w:pPr>
      <w:r>
        <w:t xml:space="preserve">Sensory toys/equipment/activities </w:t>
      </w:r>
    </w:p>
    <w:p w14:paraId="4BBB0C60" w14:textId="77777777" w:rsidR="00F3527C" w:rsidRDefault="0044399D" w:rsidP="0044399D">
      <w:pPr>
        <w:numPr>
          <w:ilvl w:val="0"/>
          <w:numId w:val="1"/>
        </w:numPr>
        <w:spacing w:after="200"/>
        <w:ind w:right="0" w:hanging="360"/>
        <w:jc w:val="left"/>
      </w:pPr>
      <w:r>
        <w:t xml:space="preserve">Specialised equipment to promote learning of a new skill e.g. riding a bike. </w:t>
      </w:r>
    </w:p>
    <w:p w14:paraId="61D69A96" w14:textId="77777777" w:rsidR="00F3527C" w:rsidRDefault="0044399D" w:rsidP="0044399D">
      <w:pPr>
        <w:spacing w:after="231"/>
        <w:ind w:left="-5" w:right="0"/>
        <w:jc w:val="left"/>
      </w:pPr>
      <w:r>
        <w:t xml:space="preserve">Individual impact of pupil premium plus can be requested at any time. </w:t>
      </w:r>
    </w:p>
    <w:p w14:paraId="2BF6043F" w14:textId="46D92D32" w:rsidR="00F3527C" w:rsidRDefault="0044399D" w:rsidP="0044399D">
      <w:pPr>
        <w:spacing w:after="227"/>
        <w:ind w:left="-5" w:right="0"/>
        <w:jc w:val="left"/>
      </w:pPr>
      <w:r>
        <w:t xml:space="preserve">Pupil premium and pupil premium plus are paid in varying amounts from different local authorities. </w:t>
      </w:r>
    </w:p>
    <w:sectPr w:rsidR="00F3527C" w:rsidSect="0044399D">
      <w:pgSz w:w="11906" w:h="16838"/>
      <w:pgMar w:top="142" w:right="143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87F67"/>
    <w:multiLevelType w:val="hybridMultilevel"/>
    <w:tmpl w:val="C292FC4C"/>
    <w:lvl w:ilvl="0" w:tplc="858E2B20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24550">
      <w:start w:val="1"/>
      <w:numFmt w:val="bullet"/>
      <w:lvlText w:val="o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06DA6">
      <w:start w:val="1"/>
      <w:numFmt w:val="bullet"/>
      <w:lvlText w:val="▪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E9852">
      <w:start w:val="1"/>
      <w:numFmt w:val="bullet"/>
      <w:lvlText w:val="•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8B402">
      <w:start w:val="1"/>
      <w:numFmt w:val="bullet"/>
      <w:lvlText w:val="o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A4E47E">
      <w:start w:val="1"/>
      <w:numFmt w:val="bullet"/>
      <w:lvlText w:val="▪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AA690">
      <w:start w:val="1"/>
      <w:numFmt w:val="bullet"/>
      <w:lvlText w:val="•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CFF68">
      <w:start w:val="1"/>
      <w:numFmt w:val="bullet"/>
      <w:lvlText w:val="o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C299C">
      <w:start w:val="1"/>
      <w:numFmt w:val="bullet"/>
      <w:lvlText w:val="▪"/>
      <w:lvlJc w:val="left"/>
      <w:pPr>
        <w:ind w:left="6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898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7C"/>
    <w:rsid w:val="0044399D"/>
    <w:rsid w:val="005261EE"/>
    <w:rsid w:val="00A06D03"/>
    <w:rsid w:val="00B14B37"/>
    <w:rsid w:val="00BC3286"/>
    <w:rsid w:val="00F3527C"/>
    <w:rsid w:val="00F62C78"/>
    <w:rsid w:val="0ADAA341"/>
    <w:rsid w:val="507EE255"/>
    <w:rsid w:val="608FA281"/>
    <w:rsid w:val="6FEDF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D5FEB"/>
  <w15:docId w15:val="{8A5669A2-8681-4755-B438-AEAA0C12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uiPriority w:val="9"/>
    <w:unhideWhenUsed/>
    <w:qFormat/>
    <w:rsid w:val="6FEDFF07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648af-d689-4d31-92e2-43f9192c8c3c" xsi:nil="true"/>
    <lcf76f155ced4ddcb4097134ff3c332f xmlns="405bdfe5-5253-4e8d-a55e-e2e47a3999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904C615AE80459D3DCB0F93BE8F79" ma:contentTypeVersion="11" ma:contentTypeDescription="Create a new document." ma:contentTypeScope="" ma:versionID="7417fa5abb703752657ed4d8c902d686">
  <xsd:schema xmlns:xsd="http://www.w3.org/2001/XMLSchema" xmlns:xs="http://www.w3.org/2001/XMLSchema" xmlns:p="http://schemas.microsoft.com/office/2006/metadata/properties" xmlns:ns2="405bdfe5-5253-4e8d-a55e-e2e47a3999b4" xmlns:ns3="41a648af-d689-4d31-92e2-43f9192c8c3c" targetNamespace="http://schemas.microsoft.com/office/2006/metadata/properties" ma:root="true" ma:fieldsID="92e690d14e1f51225db0c25a6e97b3cb" ns2:_="" ns3:_="">
    <xsd:import namespace="405bdfe5-5253-4e8d-a55e-e2e47a3999b4"/>
    <xsd:import namespace="41a648af-d689-4d31-92e2-43f9192c8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dfe5-5253-4e8d-a55e-e2e47a399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48af-d689-4d31-92e2-43f9192c8c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a0202d-443b-427f-858f-98ab60adbe94}" ma:internalName="TaxCatchAll" ma:showField="CatchAllData" ma:web="41a648af-d689-4d31-92e2-43f9192c8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8228A-7645-4D44-BCDD-4CD8B289D97C}">
  <ds:schemaRefs>
    <ds:schemaRef ds:uri="http://schemas.microsoft.com/office/2006/metadata/properties"/>
    <ds:schemaRef ds:uri="http://schemas.microsoft.com/office/infopath/2007/PartnerControls"/>
    <ds:schemaRef ds:uri="41a648af-d689-4d31-92e2-43f9192c8c3c"/>
    <ds:schemaRef ds:uri="405bdfe5-5253-4e8d-a55e-e2e47a3999b4"/>
  </ds:schemaRefs>
</ds:datastoreItem>
</file>

<file path=customXml/itemProps2.xml><?xml version="1.0" encoding="utf-8"?>
<ds:datastoreItem xmlns:ds="http://schemas.openxmlformats.org/officeDocument/2006/customXml" ds:itemID="{16854618-E0E4-49EF-BDC4-BE5F0EBD6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9A737-294A-43B7-9825-D613F112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bdfe5-5253-4e8d-a55e-e2e47a3999b4"/>
    <ds:schemaRef ds:uri="41a648af-d689-4d31-92e2-43f9192c8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2240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Fox</dc:creator>
  <cp:keywords/>
  <cp:lastModifiedBy>Nicola Walker (Avonside School)</cp:lastModifiedBy>
  <cp:revision>2</cp:revision>
  <dcterms:created xsi:type="dcterms:W3CDTF">2025-07-02T08:31:00Z</dcterms:created>
  <dcterms:modified xsi:type="dcterms:W3CDTF">2025-07-02T08:31:00Z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0x01010067E904C615AE80459D3DCB0F93BE8F79</vt:lpwstr>
  </property>
  <property fmtid="{D5CDD505-2E9C-101B-9397-08002B2CF9AE}" pid="3" name="MediaServiceImageTags">
    <vt:lpwstr/>
  </property>
  <property fmtid="{D5CDD505-2E9C-101B-9397-08002B2CF9AE}" pid="4" name="GrammarlyDocumentId">
    <vt:lpwstr>48d3ff1a-4f0e-4bf5-9b69-a4017d064762</vt:lpwstr>
  </property>
</Properties>
</file>